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83648">
      <w:pPr>
        <w:pStyle w:val="8"/>
        <w:spacing w:line="578" w:lineRule="exact"/>
        <w:rPr>
          <w:rFonts w:hint="default" w:ascii="Times New Roman" w:hAnsi="Times New Roman" w:eastAsia="方正小标宋简体" w:cs="Times New Roman"/>
          <w:bCs w:val="0"/>
          <w:sz w:val="44"/>
          <w:szCs w:val="44"/>
        </w:rPr>
      </w:pPr>
      <w:r>
        <w:rPr>
          <w:rFonts w:hint="default" w:ascii="Times New Roman" w:hAnsi="Times New Roman" w:eastAsia="方正小标宋简体" w:cs="Times New Roman"/>
          <w:sz w:val="44"/>
          <w:szCs w:val="44"/>
          <w:shd w:val="clear" w:color="auto" w:fill="FFFFFF"/>
        </w:rPr>
        <w:t>2025年度</w:t>
      </w:r>
      <w:r>
        <w:rPr>
          <w:rFonts w:hint="default" w:ascii="Times New Roman" w:hAnsi="Times New Roman" w:eastAsia="方正小标宋简体" w:cs="Times New Roman"/>
          <w:sz w:val="44"/>
          <w:szCs w:val="44"/>
          <w:shd w:val="clear" w:color="auto" w:fill="FFFFFF"/>
          <w:lang w:val="en-US" w:eastAsia="zh-CN"/>
        </w:rPr>
        <w:t>泸县司法局</w:t>
      </w:r>
      <w:r>
        <w:rPr>
          <w:rFonts w:hint="default" w:ascii="Times New Roman" w:hAnsi="Times New Roman" w:eastAsia="方正小标宋简体" w:cs="Times New Roman"/>
          <w:bCs w:val="0"/>
          <w:sz w:val="44"/>
          <w:szCs w:val="44"/>
        </w:rPr>
        <w:t>预算项目绩效目标申报表</w:t>
      </w:r>
    </w:p>
    <w:tbl>
      <w:tblPr>
        <w:tblStyle w:val="6"/>
        <w:tblW w:w="5156" w:type="pct"/>
        <w:jc w:val="center"/>
        <w:shd w:val="clear" w:color="auto" w:fill="FFFFFF" w:themeFill="background1"/>
        <w:tblLayout w:type="fixed"/>
        <w:tblCellMar>
          <w:top w:w="0" w:type="dxa"/>
          <w:left w:w="17" w:type="dxa"/>
          <w:bottom w:w="0" w:type="dxa"/>
          <w:right w:w="17" w:type="dxa"/>
        </w:tblCellMar>
      </w:tblPr>
      <w:tblGrid>
        <w:gridCol w:w="1031"/>
        <w:gridCol w:w="1034"/>
        <w:gridCol w:w="1034"/>
        <w:gridCol w:w="1061"/>
        <w:gridCol w:w="1613"/>
        <w:gridCol w:w="1258"/>
        <w:gridCol w:w="2126"/>
        <w:gridCol w:w="2358"/>
        <w:gridCol w:w="1070"/>
        <w:gridCol w:w="771"/>
        <w:gridCol w:w="900"/>
        <w:gridCol w:w="804"/>
      </w:tblGrid>
      <w:tr w14:paraId="388AA718">
        <w:tblPrEx>
          <w:shd w:val="clear" w:color="auto" w:fill="FFFFFF" w:themeFill="background1"/>
          <w:tblCellMar>
            <w:top w:w="0" w:type="dxa"/>
            <w:left w:w="17" w:type="dxa"/>
            <w:bottom w:w="0" w:type="dxa"/>
            <w:right w:w="17" w:type="dxa"/>
          </w:tblCellMar>
        </w:tblPrEx>
        <w:trPr>
          <w:trHeight w:val="454" w:hRule="atLeast"/>
          <w:tblHeader/>
          <w:jc w:val="center"/>
        </w:trPr>
        <w:tc>
          <w:tcPr>
            <w:tcW w:w="34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983664">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单位编码</w:t>
            </w:r>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14:paraId="44B42E6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单位名称</w:t>
            </w:r>
          </w:p>
        </w:tc>
        <w:tc>
          <w:tcPr>
            <w:tcW w:w="343" w:type="pct"/>
            <w:tcBorders>
              <w:top w:val="single" w:color="auto" w:sz="4" w:space="0"/>
              <w:left w:val="nil"/>
              <w:bottom w:val="single" w:color="auto" w:sz="4" w:space="0"/>
              <w:right w:val="single" w:color="auto" w:sz="4" w:space="0"/>
            </w:tcBorders>
            <w:shd w:val="clear" w:color="auto" w:fill="FFFFFF" w:themeFill="background1"/>
            <w:vAlign w:val="center"/>
          </w:tcPr>
          <w:p w14:paraId="2CE08C2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项目名称</w:t>
            </w:r>
          </w:p>
        </w:tc>
        <w:tc>
          <w:tcPr>
            <w:tcW w:w="352" w:type="pct"/>
            <w:tcBorders>
              <w:top w:val="single" w:color="auto" w:sz="4" w:space="0"/>
              <w:left w:val="nil"/>
              <w:bottom w:val="single" w:color="auto" w:sz="4" w:space="0"/>
              <w:right w:val="single" w:color="auto" w:sz="4" w:space="0"/>
            </w:tcBorders>
            <w:shd w:val="clear" w:color="auto" w:fill="FFFFFF" w:themeFill="background1"/>
            <w:vAlign w:val="center"/>
          </w:tcPr>
          <w:p w14:paraId="5A3C91D6">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预算数</w:t>
            </w:r>
          </w:p>
          <w:p w14:paraId="48AE93A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（万元）</w:t>
            </w:r>
          </w:p>
        </w:tc>
        <w:tc>
          <w:tcPr>
            <w:tcW w:w="535" w:type="pct"/>
            <w:tcBorders>
              <w:top w:val="single" w:color="auto" w:sz="4" w:space="0"/>
              <w:left w:val="nil"/>
              <w:bottom w:val="single" w:color="auto" w:sz="4" w:space="0"/>
              <w:right w:val="single" w:color="auto" w:sz="4" w:space="0"/>
            </w:tcBorders>
            <w:shd w:val="clear" w:color="auto" w:fill="FFFFFF" w:themeFill="background1"/>
            <w:vAlign w:val="center"/>
          </w:tcPr>
          <w:p w14:paraId="4F3533A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年度目标</w:t>
            </w:r>
          </w:p>
        </w:tc>
        <w:tc>
          <w:tcPr>
            <w:tcW w:w="417" w:type="pct"/>
            <w:tcBorders>
              <w:top w:val="single" w:color="auto" w:sz="4" w:space="0"/>
              <w:left w:val="nil"/>
              <w:bottom w:val="single" w:color="auto" w:sz="4" w:space="0"/>
              <w:right w:val="single" w:color="auto" w:sz="4" w:space="0"/>
            </w:tcBorders>
            <w:shd w:val="clear" w:color="auto" w:fill="FFFFFF" w:themeFill="background1"/>
            <w:vAlign w:val="center"/>
          </w:tcPr>
          <w:p w14:paraId="5F88B0C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一级指标</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14:paraId="0D86725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二级指标</w:t>
            </w:r>
          </w:p>
        </w:tc>
        <w:tc>
          <w:tcPr>
            <w:tcW w:w="782" w:type="pct"/>
            <w:tcBorders>
              <w:top w:val="single" w:color="auto" w:sz="4" w:space="0"/>
              <w:left w:val="nil"/>
              <w:bottom w:val="single" w:color="auto" w:sz="4" w:space="0"/>
              <w:right w:val="single" w:color="auto" w:sz="4" w:space="0"/>
            </w:tcBorders>
            <w:shd w:val="clear" w:color="auto" w:fill="FFFFFF" w:themeFill="background1"/>
            <w:vAlign w:val="center"/>
          </w:tcPr>
          <w:p w14:paraId="530252C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三级指标</w:t>
            </w:r>
          </w:p>
        </w:tc>
        <w:tc>
          <w:tcPr>
            <w:tcW w:w="355" w:type="pct"/>
            <w:tcBorders>
              <w:top w:val="single" w:color="auto" w:sz="4" w:space="0"/>
              <w:left w:val="nil"/>
              <w:bottom w:val="single" w:color="auto" w:sz="4" w:space="0"/>
              <w:right w:val="single" w:color="auto" w:sz="4" w:space="0"/>
            </w:tcBorders>
            <w:shd w:val="clear" w:color="auto" w:fill="FFFFFF" w:themeFill="background1"/>
            <w:vAlign w:val="center"/>
          </w:tcPr>
          <w:p w14:paraId="77B39B2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指标性质</w:t>
            </w:r>
          </w:p>
        </w:tc>
        <w:tc>
          <w:tcPr>
            <w:tcW w:w="255" w:type="pct"/>
            <w:tcBorders>
              <w:top w:val="single" w:color="auto" w:sz="4" w:space="0"/>
              <w:left w:val="nil"/>
              <w:bottom w:val="single" w:color="auto" w:sz="4" w:space="0"/>
              <w:right w:val="single" w:color="auto" w:sz="4" w:space="0"/>
            </w:tcBorders>
            <w:shd w:val="clear" w:color="auto" w:fill="FFFFFF" w:themeFill="background1"/>
            <w:vAlign w:val="center"/>
          </w:tcPr>
          <w:p w14:paraId="24F32B1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指标值</w:t>
            </w:r>
          </w:p>
        </w:tc>
        <w:tc>
          <w:tcPr>
            <w:tcW w:w="298" w:type="pct"/>
            <w:tcBorders>
              <w:top w:val="single" w:color="auto" w:sz="4" w:space="0"/>
              <w:left w:val="nil"/>
              <w:bottom w:val="single" w:color="auto" w:sz="4" w:space="0"/>
              <w:right w:val="single" w:color="auto" w:sz="4" w:space="0"/>
            </w:tcBorders>
            <w:shd w:val="clear" w:color="auto" w:fill="FFFFFF" w:themeFill="background1"/>
            <w:vAlign w:val="center"/>
          </w:tcPr>
          <w:p w14:paraId="36CCF466">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度量单位</w:t>
            </w:r>
          </w:p>
        </w:tc>
        <w:tc>
          <w:tcPr>
            <w:tcW w:w="266" w:type="pct"/>
            <w:tcBorders>
              <w:top w:val="single" w:color="auto" w:sz="4" w:space="0"/>
              <w:left w:val="nil"/>
              <w:bottom w:val="single" w:color="auto" w:sz="4" w:space="0"/>
              <w:right w:val="single" w:color="auto" w:sz="4" w:space="0"/>
            </w:tcBorders>
            <w:shd w:val="clear" w:color="auto" w:fill="FFFFFF" w:themeFill="background1"/>
            <w:vAlign w:val="center"/>
          </w:tcPr>
          <w:p w14:paraId="15444B5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黑体简体" w:cs="Times New Roman"/>
                <w:bCs w:val="0"/>
                <w:sz w:val="21"/>
                <w:szCs w:val="21"/>
              </w:rPr>
            </w:pPr>
            <w:r>
              <w:rPr>
                <w:rFonts w:hint="default" w:ascii="Times New Roman" w:hAnsi="Times New Roman" w:eastAsia="方正黑体简体" w:cs="Times New Roman"/>
                <w:bCs w:val="0"/>
                <w:sz w:val="21"/>
                <w:szCs w:val="21"/>
              </w:rPr>
              <w:t>权重（%）</w:t>
            </w:r>
          </w:p>
        </w:tc>
      </w:tr>
      <w:tr w14:paraId="6343680C">
        <w:tblPrEx>
          <w:tblCellMar>
            <w:top w:w="0" w:type="dxa"/>
            <w:left w:w="17" w:type="dxa"/>
            <w:bottom w:w="0" w:type="dxa"/>
            <w:right w:w="17" w:type="dxa"/>
          </w:tblCellMar>
        </w:tblPrEx>
        <w:trPr>
          <w:trHeight w:val="454" w:hRule="atLeast"/>
          <w:jc w:val="center"/>
        </w:trPr>
        <w:tc>
          <w:tcPr>
            <w:tcW w:w="342"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9B215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r>
              <w:rPr>
                <w:rFonts w:hint="default" w:ascii="Times New Roman" w:hAnsi="Times New Roman" w:eastAsia="方正仿宋简体" w:cs="Times New Roman"/>
                <w:bCs w:val="0"/>
                <w:color w:val="000000"/>
                <w:kern w:val="0"/>
                <w:sz w:val="21"/>
                <w:szCs w:val="21"/>
                <w:lang w:val="en-US" w:eastAsia="zh-CN" w:bidi="ar-SA"/>
                <w14:ligatures w14:val="none"/>
              </w:rPr>
              <w:t>408001</w:t>
            </w:r>
          </w:p>
        </w:tc>
        <w:tc>
          <w:tcPr>
            <w:tcW w:w="343"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D247A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r>
              <w:rPr>
                <w:rFonts w:hint="default" w:ascii="Times New Roman" w:hAnsi="Times New Roman" w:eastAsia="方正仿宋简体" w:cs="Times New Roman"/>
                <w:bCs w:val="0"/>
                <w:color w:val="000000"/>
                <w:kern w:val="0"/>
                <w:sz w:val="21"/>
                <w:szCs w:val="21"/>
                <w:lang w:val="en-US" w:eastAsia="zh-CN" w:bidi="ar-SA"/>
                <w14:ligatures w14:val="none"/>
              </w:rPr>
              <w:t>泸县司法局</w:t>
            </w:r>
          </w:p>
        </w:tc>
        <w:tc>
          <w:tcPr>
            <w:tcW w:w="343"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A5838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bCs w:val="0"/>
                <w:sz w:val="21"/>
                <w:szCs w:val="21"/>
                <w:lang w:val="en-US" w:eastAsia="zh-CN"/>
              </w:rPr>
              <w:t>专职人民调解员补贴经费</w:t>
            </w:r>
          </w:p>
        </w:tc>
        <w:tc>
          <w:tcPr>
            <w:tcW w:w="352"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0838F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bCs w:val="0"/>
                <w:sz w:val="21"/>
                <w:szCs w:val="21"/>
                <w:lang w:val="en-US" w:eastAsia="zh-CN"/>
              </w:rPr>
              <w:t>155</w:t>
            </w: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D55C71">
            <w:pPr>
              <w:pStyle w:val="8"/>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bCs w:val="0"/>
                <w:sz w:val="21"/>
                <w:szCs w:val="21"/>
                <w:lang w:val="en-US" w:eastAsia="zh-CN"/>
              </w:rPr>
              <w:t>对公安派出所移送或委托的民间纠纷和适应解调的治安案件调解率100%，纠纷化解完成率≥95%，服务对象满意度≥90%。</w:t>
            </w: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5487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8483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7514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调解完成率</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B857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FB36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95</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5209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EED2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7627B37D">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ACADC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2C12E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8A0C6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D1F6C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9C65A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DD79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69F0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016B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依法及时调节矛盾纠纷</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E079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5B9F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3500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E4E7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件</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3367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2DB24429">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8AF1B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09E43C">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C221C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F6A07C">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E7C37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6F15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6CDF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质量指标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7A19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调解协议履行率</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EE12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A05B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90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26A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D74F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3A6C17D3">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C249E6">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B63197">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81FEE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15EF3">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4BD9A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E66A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7EDE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质量指标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0079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调解案件质量达标率</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A576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E0E4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90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C01F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9A80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3EF6230E">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22AB8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934B9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E6086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27E934">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5182E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8782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E240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时效指标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ED2D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调解案件平均结案时间</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AFFB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0F3C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92EC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月</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D335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73A31A96">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3E3BB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6FC2A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E2BDF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575393">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7E925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6BF6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效益指标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7249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社会效益指标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3B0C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人民调解依法履职能力（</w:t>
            </w:r>
            <w:r>
              <w:rPr>
                <w:rFonts w:hint="default" w:ascii="Times New Roman" w:hAnsi="Times New Roman" w:eastAsia="方正仿宋简体" w:cs="Times New Roman"/>
                <w:i w:val="0"/>
                <w:iCs w:val="0"/>
                <w:caps w:val="0"/>
                <w:spacing w:val="0"/>
                <w:sz w:val="21"/>
                <w:szCs w:val="21"/>
                <w:shd w:val="clear" w:fill="FFFFFF"/>
              </w:rPr>
              <w:t>优：严格依法调解，高效化解矛盾，群众满意度高。良：能依法调解，效果较好。差：依法履职不足，矛盾化解不力</w:t>
            </w:r>
            <w:r>
              <w:rPr>
                <w:rFonts w:hint="default" w:ascii="Times New Roman" w:hAnsi="Times New Roman" w:eastAsia="方正仿宋简体" w:cs="Times New Roman"/>
                <w:i w:val="0"/>
                <w:iCs w:val="0"/>
                <w:caps w:val="0"/>
                <w:spacing w:val="0"/>
                <w:sz w:val="21"/>
                <w:szCs w:val="21"/>
                <w:shd w:val="clear" w:fill="FFFFFF"/>
                <w:lang w:eastAsia="zh-CN"/>
              </w:rPr>
              <w:t>）</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26A4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定性</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71F6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aps w:val="0"/>
                <w:spacing w:val="0"/>
                <w:sz w:val="21"/>
                <w:szCs w:val="21"/>
                <w:shd w:val="clear" w:fill="FFFFFF"/>
              </w:rPr>
              <w:t>优</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8B7D8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kern w:val="2"/>
                <w:sz w:val="21"/>
                <w:szCs w:val="21"/>
                <w:lang w:val="en-US" w:eastAsia="zh-CN" w:bidi="ar-SA"/>
                <w14:ligatures w14:val="none"/>
              </w:rPr>
            </w:pP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B2E8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4AE3BB9B">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E003D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19010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B0026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541D4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ECCCB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7E8C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效益指标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C22F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可持续影响指标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DA1F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聚焦城乡基层治理，发挥人民调解基础作用</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B1CD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139C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bCs w:val="0"/>
                <w:kern w:val="2"/>
                <w:sz w:val="21"/>
                <w:szCs w:val="21"/>
                <w:lang w:val="en-US" w:eastAsia="zh-CN" w:bidi="ar-SA"/>
                <w14:ligatures w14:val="none"/>
              </w:rPr>
              <w:t>1</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3C2A8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bCs w:val="0"/>
                <w:kern w:val="2"/>
                <w:sz w:val="21"/>
                <w:szCs w:val="21"/>
                <w:lang w:val="en-US" w:eastAsia="zh-CN" w:bidi="ar-SA"/>
                <w14:ligatures w14:val="none"/>
              </w:rPr>
              <w:t>年</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75CB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20AB41C3">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BBDD2C">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39C13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D198E4">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605DE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9F344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1141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满意度指标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FE8E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服务对象满意度指标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6C2B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人民群众对人民调解工作满意度</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D1B0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2CF6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90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5895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40CA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18162CBE">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456D4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DEC7C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D925E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FCAC6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FF8A4C">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2253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成本指标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8538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经济成本指标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FFF6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调解员聘用成本</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E294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7F11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155</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2994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万元</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02CE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19E7032E">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7EC46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80611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96E30D">
            <w:pPr>
              <w:pStyle w:val="8"/>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bCs w:val="0"/>
                <w:color w:val="000000"/>
                <w:kern w:val="0"/>
                <w:sz w:val="21"/>
                <w:szCs w:val="21"/>
                <w:lang w:val="en-US" w:eastAsia="zh-CN" w:bidi="ar-SA"/>
                <w14:ligatures w14:val="none"/>
              </w:rPr>
              <w:t>法律援助</w:t>
            </w:r>
          </w:p>
          <w:p w14:paraId="688F2920">
            <w:pPr>
              <w:pStyle w:val="8"/>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lang w:val="en-US" w:eastAsia="zh-CN"/>
              </w:rPr>
            </w:pPr>
          </w:p>
        </w:tc>
        <w:tc>
          <w:tcPr>
            <w:tcW w:w="352"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A5F18C">
            <w:pPr>
              <w:pStyle w:val="8"/>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lang w:val="en-US" w:eastAsia="zh-CN"/>
              </w:rPr>
            </w:pPr>
            <w:r>
              <w:rPr>
                <w:rFonts w:hint="default" w:ascii="Times New Roman" w:hAnsi="Times New Roman" w:eastAsia="方正仿宋简体" w:cs="Times New Roman"/>
                <w:bCs w:val="0"/>
                <w:sz w:val="21"/>
                <w:szCs w:val="21"/>
                <w:lang w:val="en-US" w:eastAsia="zh-CN"/>
              </w:rPr>
              <w:t>12</w:t>
            </w: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B0F6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lang w:val="en-US" w:eastAsia="zh-CN"/>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完成民生工程法律援助案件、咨询、人次等任务，切实维护弱势群体合法权益。</w:t>
            </w:r>
            <w:r>
              <w:rPr>
                <w:rFonts w:hint="default" w:ascii="Times New Roman" w:hAnsi="Times New Roman" w:eastAsia="方正仿宋简体" w:cs="Times New Roman"/>
                <w:i w:val="0"/>
                <w:iCs w:val="0"/>
                <w:color w:val="000000"/>
                <w:kern w:val="0"/>
                <w:sz w:val="21"/>
                <w:szCs w:val="21"/>
                <w:u w:val="none"/>
                <w:lang w:val="en-US" w:eastAsia="zh-CN" w:bidi="ar"/>
                <w14:ligatures w14:val="none"/>
              </w:rPr>
              <w:br w:type="textWrapping"/>
            </w:r>
            <w:r>
              <w:rPr>
                <w:rFonts w:hint="default" w:ascii="Times New Roman" w:hAnsi="Times New Roman" w:eastAsia="方正仿宋简体" w:cs="Times New Roman"/>
                <w:i w:val="0"/>
                <w:iCs w:val="0"/>
                <w:color w:val="000000"/>
                <w:kern w:val="0"/>
                <w:sz w:val="21"/>
                <w:szCs w:val="21"/>
                <w:u w:val="none"/>
                <w:lang w:val="en-US" w:eastAsia="zh-CN" w:bidi="ar"/>
                <w14:ligatures w14:val="none"/>
              </w:rPr>
              <w:t>为维护正常司法秩序，履行法律援助职责，依法保障犯罪嫌疑人的合法权益，依法保障刑事案件律师辩护全覆盖和认罪认罚从宽制度执行这两项工作的顺利开展。</w:t>
            </w: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4E5B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BF62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B806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完成民事案件</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7287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9950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F988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件</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E6E1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3468E3F9">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CA3D3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50DDA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DF2E4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15399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6419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B5A5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D02C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3973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完成刑事辩护案件三个阶段</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3DBB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033D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50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0A1B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件</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7D81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34B8FE02">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83CA2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E6D06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3BC5D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2CAD6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BEC7F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F2F8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854E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24DF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完成认罪认罚案件</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4B72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8439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200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2916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件</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8A3F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4C8A362A">
        <w:tblPrEx>
          <w:tblCellMar>
            <w:top w:w="0" w:type="dxa"/>
            <w:left w:w="17" w:type="dxa"/>
            <w:bottom w:w="0" w:type="dxa"/>
            <w:right w:w="17" w:type="dxa"/>
          </w:tblCellMar>
        </w:tblPrEx>
        <w:trPr>
          <w:trHeight w:val="90"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0B8D7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8D269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971AA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FC8E3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CD33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6350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5843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质量指标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05F2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律师值班出勤率</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5A9D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64C2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9A67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A17B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2F80C6E6">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5BE58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B042A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1C839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E071D4">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4C6D6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9917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C3FC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时效指标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D199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完成时间</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6E22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5882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C4AF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年</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D51A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68C6BC7A">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B7C69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A3CDB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5B4093">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883043">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0794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lang w:val="en-US"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85B3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效益指标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621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社会效益指标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836B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lang w:eastAsia="zh-CN"/>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维护社会特定群体合法权益（</w:t>
            </w:r>
            <w:r>
              <w:rPr>
                <w:rFonts w:hint="default" w:ascii="Times New Roman" w:hAnsi="Times New Roman" w:eastAsia="方正仿宋简体" w:cs="Times New Roman"/>
                <w:i w:val="0"/>
                <w:iCs w:val="0"/>
                <w:caps w:val="0"/>
                <w:spacing w:val="0"/>
                <w:sz w:val="21"/>
                <w:szCs w:val="21"/>
                <w:shd w:val="clear" w:fill="FFFFFF"/>
              </w:rPr>
              <w:t>优：全面有效维护特定群体权益，措施得力，满意度高。良：较好维护，有一定成效。差：维护不足，权益受损情况较多</w:t>
            </w:r>
            <w:r>
              <w:rPr>
                <w:rFonts w:hint="default" w:ascii="Times New Roman" w:hAnsi="Times New Roman" w:eastAsia="方正仿宋简体" w:cs="Times New Roman"/>
                <w:i w:val="0"/>
                <w:iCs w:val="0"/>
                <w:caps w:val="0"/>
                <w:spacing w:val="0"/>
                <w:sz w:val="21"/>
                <w:szCs w:val="21"/>
                <w:shd w:val="clear" w:fill="FFFFFF"/>
                <w:lang w:eastAsia="zh-CN"/>
              </w:rPr>
              <w:t>）</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A3F5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定性</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36AD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良</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BC60A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rPr>
            </w:pP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C0AB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1786B5F2">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8E1CA6">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color w:val="000000"/>
                <w:kern w:val="0"/>
                <w:sz w:val="21"/>
                <w:szCs w:val="21"/>
                <w:lang w:val="en-US" w:eastAsia="zh-CN" w:bidi="ar-SA"/>
                <w14:ligatures w14:val="none"/>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805C33">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color w:val="000000"/>
                <w:kern w:val="0"/>
                <w:sz w:val="21"/>
                <w:szCs w:val="21"/>
                <w:lang w:val="en-US" w:eastAsia="zh-CN" w:bidi="ar-SA"/>
                <w14:ligatures w14:val="none"/>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C5857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color w:val="000000"/>
                <w:kern w:val="0"/>
                <w:sz w:val="21"/>
                <w:szCs w:val="21"/>
                <w:lang w:val="en-US" w:eastAsia="zh-CN" w:bidi="ar-SA"/>
                <w14:ligatures w14:val="none"/>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C0754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color w:val="000000"/>
                <w:kern w:val="0"/>
                <w:sz w:val="21"/>
                <w:szCs w:val="21"/>
                <w:lang w:val="en-US" w:eastAsia="zh-CN" w:bidi="ar-SA"/>
                <w14:ligatures w14: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4EEA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2513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效益指标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F63C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可持续影响指标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D6E1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维护法律公平正义</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5561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D6A2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bCs w:val="0"/>
                <w:kern w:val="2"/>
                <w:sz w:val="21"/>
                <w:szCs w:val="21"/>
                <w:lang w:val="en-US" w:eastAsia="zh-CN" w:bidi="ar-SA"/>
                <w14:ligatures w14:val="none"/>
              </w:rPr>
              <w:t>1</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BDFF5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bCs w:val="0"/>
                <w:kern w:val="2"/>
                <w:sz w:val="21"/>
                <w:szCs w:val="21"/>
                <w:lang w:val="en-US" w:eastAsia="zh-CN" w:bidi="ar-SA"/>
                <w14:ligatures w14:val="none"/>
              </w:rPr>
              <w:t>年</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97A6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5B09CBF9">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9253D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CBFC16">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0345C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1ADD87">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4659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6D19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满意度指标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95BD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服务对象满意度指标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F332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受援人满意度</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061C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6A4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95</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E87A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2AFC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395233EE">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DB581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43982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2E839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894DF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6F85D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9463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成本指标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3942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社会成本指标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3588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民生实事完成率</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B6B4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4CFF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60F6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28BA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04602DA2">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45135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1C64B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36A7FC">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bCs w:val="0"/>
                <w:sz w:val="21"/>
                <w:szCs w:val="21"/>
              </w:rPr>
              <w:t>社区矫正</w:t>
            </w:r>
          </w:p>
        </w:tc>
        <w:tc>
          <w:tcPr>
            <w:tcW w:w="352"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2CA86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bCs w:val="0"/>
                <w:sz w:val="21"/>
                <w:szCs w:val="21"/>
              </w:rPr>
              <w:t>10</w:t>
            </w: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977A6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bCs w:val="0"/>
                <w:sz w:val="21"/>
                <w:szCs w:val="21"/>
              </w:rPr>
              <w:t>落实社区矫正监督管理、教育矫正和社会适应性帮扶工作要求，把社区服刑人员改造、教育成为守法公民，维护社会稳定。</w:t>
            </w: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40E7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F39F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39F1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社区矫正调查评估数量</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EC82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D5ED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40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1D21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件</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2181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6F6280FC">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F0466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F562E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0F78B6">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976BE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025C7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7054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9489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31EA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社区矫正档案文书管理数量</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1859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EC4C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200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FCC2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件</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43FE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5</w:t>
            </w:r>
          </w:p>
        </w:tc>
      </w:tr>
      <w:tr w14:paraId="7423726E">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A0D24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B3513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F71B6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4A62C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C4363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460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22DE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BAF1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社区矫正对象列管人数</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2FB5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E6FB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350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FDDC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人</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758D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151DE605">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E84D9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DA0DA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5FCC9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6E1C5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B9F7E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1A58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5CEB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质量指标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60E1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社区矫正对象公益劳动/集中教育、个别教育学习人次</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F1E8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0651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2000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2A7F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人次</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ABF4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215DD0CC">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4A94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59FC3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110E8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A7F2C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72C6E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3031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8FBF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质量指标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D29D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监督管理对象走访数量</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E34F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F0C2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10CE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人次</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9A61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5D001BB6">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1F7A4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36CBC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C440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0D0CC6">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50AE3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2A47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B1AF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质量指标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9D98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信息化核查人次</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6C80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DB85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500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BE79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人次</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DAED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5</w:t>
            </w:r>
          </w:p>
        </w:tc>
      </w:tr>
      <w:tr w14:paraId="7C5CEFC4">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B82C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823FB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FFFF7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4EAFC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0BB4B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33E0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358D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时效指标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F2D2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调查评估及时率、社区矫正对象报到入矫率</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D2B6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6413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1DBF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387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74F70793">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DA288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928274">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61CD13">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1F6D5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3C83EC">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DD11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效益指标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CD4A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社会效益指标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E1B9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社区矫正对象矫正期间无脱管、漏管</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2145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B57A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0693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1E2E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5891C67A">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4EC60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236A66">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9003A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F56D6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BD9FF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962C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满意度指标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088A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服务对象满意度指标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9229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社区矫正对象满意度</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979C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D9D3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80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90AC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4005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24AAE52A">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7F85A6">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000C53">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15E86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0AA92C">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B3E1C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710B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成本指标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BB7B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经济成本指标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3A64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项目总投资完成值</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ED80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CC9D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A4C8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万元</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62C6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4DA0E572">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79C21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4438C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58BF7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bCs w:val="0"/>
                <w:sz w:val="21"/>
                <w:szCs w:val="21"/>
              </w:rPr>
              <w:t>法律顾问、诉讼案件代理费及其他法治经费</w:t>
            </w:r>
          </w:p>
        </w:tc>
        <w:tc>
          <w:tcPr>
            <w:tcW w:w="352"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9793B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lang w:val="en-US" w:eastAsia="zh-CN"/>
              </w:rPr>
            </w:pPr>
            <w:r>
              <w:rPr>
                <w:rFonts w:hint="default" w:ascii="Times New Roman" w:hAnsi="Times New Roman" w:eastAsia="方正仿宋简体" w:cs="Times New Roman"/>
                <w:bCs w:val="0"/>
                <w:sz w:val="21"/>
                <w:szCs w:val="21"/>
                <w:lang w:val="en-US" w:eastAsia="zh-CN"/>
              </w:rPr>
              <w:t>40</w:t>
            </w: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D2D714">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bCs w:val="0"/>
                <w:sz w:val="21"/>
                <w:szCs w:val="21"/>
              </w:rPr>
              <w:t>对县政府规范性文件、重大行政决策、县政府交办文件和合同进行合法性审查；承担县委县政府法律咨询工作，对重要事项开展专题研究，为重大改革、重大行政行为、重大活动等提供法律意见；承担县委县政府法律顾问团成员选聘、管理、使用、考核、评价等工作。行政复议和应诉案件办理，加强全县行政复议与应诉工作人员能力建设。</w:t>
            </w: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0FA0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A79C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DCC9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县政府规范性文件合法性审查</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FDFF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C88F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lang w:val="en-US"/>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15</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CD6A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件</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C06A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59F67502">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CD99F0">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FC0D7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C71FF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AA73C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8A085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53FB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8DD6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1233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开展行政复议和行政应诉</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8350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5187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lang w:val="en-US"/>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30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27B5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件</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3861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693AED3C">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3D6CC4">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9AD24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C2942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5D30B3">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8D203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5847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443F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数量指标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3D66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执法机关行政执法人员全员轮训时间</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29A4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B301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lang w:val="en-US" w:eastAsia="zh-CN"/>
              </w:rPr>
            </w:pPr>
            <w:r>
              <w:rPr>
                <w:rFonts w:hint="default" w:ascii="Times New Roman" w:hAnsi="Times New Roman" w:eastAsia="方正仿宋简体" w:cs="Times New Roman"/>
                <w:bCs w:val="0"/>
                <w:sz w:val="21"/>
                <w:szCs w:val="21"/>
                <w:lang w:val="en-US" w:eastAsia="zh-CN"/>
              </w:rPr>
              <w:t>60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725FE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lang w:val="en-US" w:eastAsia="zh-CN"/>
              </w:rPr>
            </w:pPr>
            <w:r>
              <w:rPr>
                <w:rFonts w:hint="default" w:ascii="Times New Roman" w:hAnsi="Times New Roman" w:eastAsia="方正仿宋简体" w:cs="Times New Roman"/>
                <w:bCs w:val="0"/>
                <w:sz w:val="21"/>
                <w:szCs w:val="21"/>
                <w:lang w:val="en-US" w:eastAsia="zh-CN"/>
              </w:rPr>
              <w:t>学时</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3FA7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4B496A20">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9BE91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FF422C">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93ADA4">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EE0B7A">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00760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6568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B4E1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质量指标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4187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县政府重大决策、规范性文件合法性审查率</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DE53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828D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30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7CBF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E5D6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1FF4FE7A">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AFF7A7">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1734F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5783C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478B7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F3D89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FA54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产出指标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3AEE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时效指标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9ED0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完成时间</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0C70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0230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72EA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年</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0240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26011562">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18539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4D87C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749DC8">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E24E4B">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B3D77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8BAA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效益指标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EE22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社会效益指标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44F5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县政府规范性文件备案管理</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1EFE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定性</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E80D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良</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B7589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简体" w:cs="Times New Roman"/>
                <w:bCs w:val="0"/>
                <w:sz w:val="21"/>
                <w:szCs w:val="21"/>
              </w:rPr>
            </w:pP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AA4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412E7FC1">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2F63A9">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43301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E48BE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C3CC9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48FE5E">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46B0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满意度指标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B38D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服务对象满意度指标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1707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服务对象满意度</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EC5D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8F86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95</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FC43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D4E6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r w14:paraId="4A1EDE8D">
        <w:tblPrEx>
          <w:tblCellMar>
            <w:top w:w="0" w:type="dxa"/>
            <w:left w:w="17" w:type="dxa"/>
            <w:bottom w:w="0" w:type="dxa"/>
            <w:right w:w="17" w:type="dxa"/>
          </w:tblCellMar>
        </w:tblPrEx>
        <w:trPr>
          <w:trHeight w:val="454" w:hRule="atLeast"/>
          <w:jc w:val="center"/>
        </w:trPr>
        <w:tc>
          <w:tcPr>
            <w:tcW w:w="34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530AF1">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18F2B2">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7CDE35">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35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7C150F">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4DCBCD">
            <w:pPr>
              <w:pStyle w:val="8"/>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简体" w:cs="Times New Roman"/>
                <w:bCs w:val="0"/>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4D14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成本指标</w:t>
            </w:r>
          </w:p>
        </w:tc>
        <w:tc>
          <w:tcPr>
            <w:tcW w:w="70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1767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color w:val="000000"/>
                <w:kern w:val="0"/>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经济成本指标</w:t>
            </w:r>
          </w:p>
        </w:tc>
        <w:tc>
          <w:tcPr>
            <w:tcW w:w="7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9F54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征求法律顾问意见和建议</w:t>
            </w:r>
          </w:p>
        </w:tc>
        <w:tc>
          <w:tcPr>
            <w:tcW w:w="3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5526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w:t>
            </w:r>
          </w:p>
        </w:tc>
        <w:tc>
          <w:tcPr>
            <w:tcW w:w="25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F5EC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20</w:t>
            </w:r>
          </w:p>
        </w:tc>
        <w:tc>
          <w:tcPr>
            <w:tcW w:w="2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A318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万元</w:t>
            </w:r>
          </w:p>
        </w:tc>
        <w:tc>
          <w:tcPr>
            <w:tcW w:w="2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3432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简体" w:cs="Times New Roman"/>
                <w:bCs w:val="0"/>
                <w:kern w:val="2"/>
                <w:sz w:val="21"/>
                <w:szCs w:val="21"/>
                <w:lang w:val="en-US" w:eastAsia="zh-CN" w:bidi="ar-SA"/>
                <w14:ligatures w14:val="none"/>
              </w:rPr>
            </w:pPr>
            <w:r>
              <w:rPr>
                <w:rFonts w:hint="default" w:ascii="Times New Roman" w:hAnsi="Times New Roman" w:eastAsia="方正仿宋简体" w:cs="Times New Roman"/>
                <w:i w:val="0"/>
                <w:iCs w:val="0"/>
                <w:color w:val="000000"/>
                <w:kern w:val="0"/>
                <w:sz w:val="21"/>
                <w:szCs w:val="21"/>
                <w:u w:val="none"/>
                <w:lang w:val="en-US" w:eastAsia="zh-CN" w:bidi="ar"/>
                <w14:ligatures w14:val="none"/>
              </w:rPr>
              <w:t>10</w:t>
            </w:r>
          </w:p>
        </w:tc>
      </w:tr>
    </w:tbl>
    <w:p w14:paraId="0B0560CF">
      <w:pPr>
        <w:rPr>
          <w:rFonts w:hint="default" w:ascii="Times New Roman" w:hAnsi="Times New Roman" w:cs="Times New Roman"/>
        </w:rPr>
      </w:pPr>
    </w:p>
    <w:p w14:paraId="322AAD46">
      <w:pPr>
        <w:pStyle w:val="10"/>
        <w:ind w:firstLine="640"/>
        <w:rPr>
          <w:b w:val="0"/>
          <w:bCs w:val="0"/>
        </w:rPr>
      </w:pPr>
      <w:r>
        <w:rPr>
          <w:rFonts w:hint="eastAsia"/>
          <w:b w:val="0"/>
          <w:bCs w:val="0"/>
        </w:rPr>
        <w:t>填表说明：单位项目支出绩效目标</w:t>
      </w:r>
    </w:p>
    <w:p w14:paraId="5F336B39">
      <w:pPr>
        <w:pStyle w:val="10"/>
        <w:ind w:firstLine="640"/>
        <w:rPr>
          <w:b w:val="0"/>
          <w:bCs w:val="0"/>
        </w:rPr>
      </w:pPr>
      <w:r>
        <w:rPr>
          <w:rFonts w:hint="eastAsia"/>
          <w:b w:val="0"/>
          <w:bCs w:val="0"/>
        </w:rPr>
        <w:t>1.单位编码和单位名称需与一体化系统中一致；</w:t>
      </w:r>
    </w:p>
    <w:p w14:paraId="6297C37F">
      <w:pPr>
        <w:pStyle w:val="10"/>
        <w:ind w:firstLine="640"/>
        <w:rPr>
          <w:b w:val="0"/>
          <w:bCs w:val="0"/>
        </w:rPr>
      </w:pPr>
      <w:r>
        <w:rPr>
          <w:rFonts w:hint="eastAsia"/>
          <w:b w:val="0"/>
          <w:bCs w:val="0"/>
        </w:rPr>
        <w:t>2.项目名称和预算数与汇编资料一致；</w:t>
      </w:r>
    </w:p>
    <w:p w14:paraId="78F5A241">
      <w:pPr>
        <w:pStyle w:val="10"/>
        <w:ind w:firstLine="640"/>
        <w:rPr>
          <w:b w:val="0"/>
          <w:bCs w:val="0"/>
        </w:rPr>
      </w:pPr>
      <w:r>
        <w:rPr>
          <w:rFonts w:hint="eastAsia"/>
          <w:b w:val="0"/>
          <w:bCs w:val="0"/>
        </w:rPr>
        <w:t>3.每个项目至少有4个产出指标、分别1个其他指标（效益、满意度、成本指标）；</w:t>
      </w:r>
    </w:p>
    <w:p w14:paraId="2AB41757">
      <w:pPr>
        <w:pStyle w:val="10"/>
        <w:ind w:firstLine="640"/>
        <w:rPr>
          <w:b w:val="0"/>
          <w:bCs w:val="0"/>
        </w:rPr>
      </w:pPr>
      <w:r>
        <w:rPr>
          <w:rFonts w:hint="eastAsia"/>
          <w:b w:val="0"/>
          <w:bCs w:val="0"/>
        </w:rPr>
        <w:t>4.指标设置务必细化量化，不能全部整定性指标，一个项目各指标权重和为90%；</w:t>
      </w:r>
    </w:p>
    <w:p w14:paraId="414F0894">
      <w:pPr>
        <w:pStyle w:val="10"/>
        <w:ind w:firstLine="640"/>
        <w:rPr>
          <w:b w:val="0"/>
          <w:bCs w:val="0"/>
        </w:rPr>
      </w:pPr>
      <w:r>
        <w:rPr>
          <w:rFonts w:hint="eastAsia"/>
          <w:b w:val="0"/>
          <w:bCs w:val="0"/>
        </w:rPr>
        <w:t>5.除涉密项目外，其余每个项目都必须编制项目绩效目标申报表，并确保与一体化系统中绩效目标一致。</w:t>
      </w:r>
    </w:p>
    <w:p w14:paraId="683A9FC8">
      <w:pPr>
        <w:rPr>
          <w:rFonts w:hint="default" w:ascii="Times New Roman" w:hAnsi="Times New Roman" w:cs="Times New Roman"/>
        </w:rPr>
      </w:pPr>
      <w:bookmarkStart w:id="0" w:name="_GoBack"/>
      <w:bookmarkEnd w:id="0"/>
      <w:r>
        <w:rPr>
          <w:rFonts w:hint="default" w:ascii="Times New Roman" w:hAnsi="Times New Roman" w:cs="Times New Roman"/>
        </w:rPr>
        <w:br w:type="page"/>
      </w:r>
    </w:p>
    <w:p w14:paraId="36406170"/>
    <w:sectPr>
      <w:pgSz w:w="16838" w:h="11906" w:orient="landscape"/>
      <w:pgMar w:top="1587" w:right="1134" w:bottom="158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_x0004_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Dialog .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521CD"/>
    <w:rsid w:val="02F8266E"/>
    <w:rsid w:val="041521CD"/>
    <w:rsid w:val="06F131F4"/>
    <w:rsid w:val="0703310E"/>
    <w:rsid w:val="09261B0E"/>
    <w:rsid w:val="14F055ED"/>
    <w:rsid w:val="15C9134E"/>
    <w:rsid w:val="15D70664"/>
    <w:rsid w:val="1B5622E9"/>
    <w:rsid w:val="1D345FF7"/>
    <w:rsid w:val="1E3958A5"/>
    <w:rsid w:val="2251345B"/>
    <w:rsid w:val="257A518B"/>
    <w:rsid w:val="2A53737E"/>
    <w:rsid w:val="313812D0"/>
    <w:rsid w:val="31801FC4"/>
    <w:rsid w:val="32843DF1"/>
    <w:rsid w:val="38DF2E5B"/>
    <w:rsid w:val="43DA7D60"/>
    <w:rsid w:val="465A48FC"/>
    <w:rsid w:val="4C147660"/>
    <w:rsid w:val="68621ACF"/>
    <w:rsid w:val="687A05CB"/>
    <w:rsid w:val="699121C1"/>
    <w:rsid w:val="6B3105E9"/>
    <w:rsid w:val="6F7118E2"/>
    <w:rsid w:val="7457466E"/>
    <w:rsid w:val="76F2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_x0004_fal" w:cs="Times New Roman"/>
      <w:kern w:val="2"/>
      <w:sz w:val="21"/>
      <w:szCs w:val="21"/>
      <w:lang w:val="en-US" w:eastAsia="zh-CN" w:bidi="ar-SA"/>
      <w14:ligatures w14:val="none"/>
    </w:rPr>
  </w:style>
  <w:style w:type="paragraph" w:styleId="2">
    <w:name w:val="heading 1"/>
    <w:basedOn w:val="1"/>
    <w:next w:val="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14:ligatures w14:val="standardContextual"/>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spacing w:before="93" w:beforeLines="30"/>
    </w:pPr>
    <w:rPr>
      <w:rFonts w:ascii="仿宋_GB2312" w:eastAsia="仿宋_GB2312"/>
      <w:kern w:val="0"/>
      <w:sz w:val="24"/>
      <w:szCs w:val="24"/>
    </w:rPr>
  </w:style>
  <w:style w:type="paragraph" w:styleId="4">
    <w:name w:val="Body Text Indent 2"/>
    <w:basedOn w:val="1"/>
    <w:qFormat/>
    <w:uiPriority w:val="0"/>
    <w:pPr>
      <w:spacing w:line="560" w:lineRule="exact"/>
      <w:ind w:firstLine="624" w:firstLineChars="200"/>
    </w:pPr>
  </w:style>
  <w:style w:type="paragraph" w:styleId="5">
    <w:name w:val="footer"/>
    <w:basedOn w:val="1"/>
    <w:next w:val="1"/>
    <w:qFormat/>
    <w:uiPriority w:val="0"/>
    <w:pPr>
      <w:tabs>
        <w:tab w:val="center" w:pos="4153"/>
        <w:tab w:val="right" w:pos="8306"/>
      </w:tabs>
      <w:snapToGrid w:val="0"/>
      <w:jc w:val="left"/>
    </w:pPr>
    <w:rPr>
      <w:sz w:val="18"/>
    </w:rPr>
  </w:style>
  <w:style w:type="paragraph" w:customStyle="1" w:styleId="8">
    <w:name w:val="表格"/>
    <w:basedOn w:val="1"/>
    <w:qFormat/>
    <w:uiPriority w:val="0"/>
    <w:pPr>
      <w:widowControl/>
      <w:spacing w:line="260" w:lineRule="exact"/>
      <w:jc w:val="center"/>
    </w:pPr>
    <w:rPr>
      <w:rFonts w:eastAsia="方正仿宋简体" w:cs="宋体"/>
      <w:bCs/>
      <w:color w:val="000000"/>
      <w:kern w:val="0"/>
      <w:szCs w:val="20"/>
    </w:rPr>
  </w:style>
  <w:style w:type="paragraph" w:customStyle="1" w:styleId="9">
    <w:name w:val="方正小标宋"/>
    <w:basedOn w:val="2"/>
    <w:next w:val="10"/>
    <w:qFormat/>
    <w:uiPriority w:val="0"/>
    <w:pPr>
      <w:widowControl/>
      <w:shd w:val="clear" w:color="auto" w:fill="FFFFFF"/>
      <w:spacing w:before="0" w:after="0" w:line="578" w:lineRule="exact"/>
      <w:jc w:val="center"/>
    </w:pPr>
    <w:rPr>
      <w:rFonts w:ascii="方正小标宋简体" w:hAnsi="方正小标宋简体" w:eastAsia="方正小标宋简体" w:cs="Times New Roman"/>
      <w:bCs w:val="0"/>
      <w:shd w:val="clear" w:color="auto" w:fill="FFFFFF"/>
      <w14:ligatures w14:val="none"/>
    </w:rPr>
  </w:style>
  <w:style w:type="paragraph" w:customStyle="1" w:styleId="10">
    <w:name w:val="方正仿宋简体"/>
    <w:basedOn w:val="1"/>
    <w:next w:val="1"/>
    <w:qFormat/>
    <w:uiPriority w:val="0"/>
    <w:pPr>
      <w:widowControl/>
      <w:shd w:val="clear" w:color="auto" w:fill="FFFFFF"/>
      <w:spacing w:line="578" w:lineRule="exact"/>
      <w:ind w:firstLine="200" w:firstLineChars="200"/>
    </w:pPr>
    <w:rPr>
      <w:rFonts w:eastAsia="方正仿宋简体"/>
      <w:b/>
      <w:bCs/>
      <w:kern w:val="0"/>
      <w:sz w:val="32"/>
      <w:szCs w:val="52"/>
      <w:shd w:val="clear" w:color="auto" w:fill="FFFFFF"/>
    </w:rPr>
  </w:style>
  <w:style w:type="character" w:customStyle="1" w:styleId="11">
    <w:name w:val="font71"/>
    <w:basedOn w:val="7"/>
    <w:qFormat/>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1356</Words>
  <Characters>1450</Characters>
  <Lines>0</Lines>
  <Paragraphs>0</Paragraphs>
  <TotalTime>0</TotalTime>
  <ScaleCrop>false</ScaleCrop>
  <LinksUpToDate>false</LinksUpToDate>
  <CharactersWithSpaces>1450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2025-03-03T06:46:00Z</dcterms:created>
  <dc:creator>Administrator</dc:creator>
  <cp:lastModifiedBy>J-晶^V^</cp:lastModifiedBy>
  <dcterms:modified xsi:type="dcterms:W3CDTF">2025-03-11T07:21:24Z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0FE4D3F538F542158A790B138E6708BB_13</vt:lpwstr>
  </property>
  <property fmtid="{D5CDD505-2E9C-101B-9397-08002B2CF9AE}" pid="4" name="KSOTemplateDocerSaveRecord">
    <vt:lpwstr>eyJoZGlkIjoiYjE0ZGNiNWZjMWU4OTJiM2I5ZWQ2NTQ1NWQxZGUwYjYiLCJ1c2VySWQiOiIyOTQ2NTkyOTMifQ==</vt:lpwstr>
  </property>
</Properties>
</file>